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9E3C" w14:textId="20457837" w:rsidR="00B442C4" w:rsidRPr="00B442C4" w:rsidRDefault="00B442C4" w:rsidP="00FD5D87">
      <w:pPr>
        <w:rPr>
          <w:sz w:val="18"/>
        </w:rPr>
      </w:pPr>
    </w:p>
    <w:p w14:paraId="697722E7" w14:textId="77777777" w:rsidR="006A23F4" w:rsidRDefault="006A23F4" w:rsidP="00FD5D87"/>
    <w:p w14:paraId="3E062C1A" w14:textId="07EB5060" w:rsidR="00FD5D87" w:rsidRPr="00B31B56" w:rsidRDefault="00FD5D87" w:rsidP="00FD5D87">
      <w:pPr>
        <w:rPr>
          <w:sz w:val="20"/>
        </w:rPr>
      </w:pPr>
      <w:r w:rsidRPr="008424E0">
        <w:t xml:space="preserve">Dear Stakeholder: </w:t>
      </w:r>
    </w:p>
    <w:p w14:paraId="0DD6C627" w14:textId="77777777" w:rsidR="00FD5D87" w:rsidRPr="00B31B56" w:rsidRDefault="00FD5D87" w:rsidP="00FD5D87">
      <w:pPr>
        <w:rPr>
          <w:sz w:val="20"/>
        </w:rPr>
      </w:pPr>
    </w:p>
    <w:p w14:paraId="037C7E71" w14:textId="6B2B9C37" w:rsidR="009D05AF" w:rsidRDefault="003E5FA1" w:rsidP="00FD5D87">
      <w:r>
        <w:t>T</w:t>
      </w:r>
      <w:r w:rsidR="00F40961" w:rsidRPr="00F40961">
        <w:t>he Focus Four Hazards</w:t>
      </w:r>
      <w:r w:rsidR="00D4484F">
        <w:t xml:space="preserve"> have</w:t>
      </w:r>
      <w:r w:rsidR="00F40961" w:rsidRPr="00F40961">
        <w:t xml:space="preserve"> account</w:t>
      </w:r>
      <w:r w:rsidR="00D4484F">
        <w:t>ed</w:t>
      </w:r>
      <w:r w:rsidR="00F40961" w:rsidRPr="00F40961">
        <w:t xml:space="preserve"> for the vast majority of injuries and fatalities in the construction industry. </w:t>
      </w:r>
      <w:r w:rsidR="00F40961">
        <w:t xml:space="preserve">In </w:t>
      </w:r>
      <w:r w:rsidR="00D4484F">
        <w:t xml:space="preserve">an effort to prevent future </w:t>
      </w:r>
      <w:r w:rsidR="006F33A1">
        <w:t xml:space="preserve">injuries and </w:t>
      </w:r>
      <w:r w:rsidR="00D4484F">
        <w:t>fatalities</w:t>
      </w:r>
      <w:r w:rsidR="00F40961">
        <w:t xml:space="preserve">, </w:t>
      </w:r>
      <w:r w:rsidR="00FD5D87" w:rsidRPr="008424E0">
        <w:t>OSHA</w:t>
      </w:r>
      <w:r w:rsidR="00F40961">
        <w:t>,</w:t>
      </w:r>
      <w:r w:rsidR="00FD5D87" w:rsidRPr="008424E0">
        <w:t xml:space="preserve"> </w:t>
      </w:r>
      <w:r w:rsidR="00F40961">
        <w:t>our state plans</w:t>
      </w:r>
      <w:r w:rsidR="00016F06">
        <w:t>,</w:t>
      </w:r>
      <w:r w:rsidR="00F40961">
        <w:t xml:space="preserve"> consultation projects, and construction industry partners </w:t>
      </w:r>
      <w:r w:rsidR="00FD5D87" w:rsidRPr="008424E0">
        <w:t>have initiated a “Focus Four Hazards” campaign</w:t>
      </w:r>
      <w:r w:rsidR="00F40961">
        <w:t xml:space="preserve"> </w:t>
      </w:r>
      <w:r w:rsidR="00C43C5D">
        <w:t xml:space="preserve">in Region Three’s jurisdiction.  </w:t>
      </w:r>
      <w:r w:rsidR="009D05AF" w:rsidRPr="009D05AF">
        <w:t>The goal of this campaign is to raise awareness in the recognition, evaluation, and control of these hazards</w:t>
      </w:r>
      <w:r w:rsidR="00D4484F">
        <w:t xml:space="preserve"> through the delivery of </w:t>
      </w:r>
      <w:r w:rsidR="00D4484F" w:rsidRPr="004B4D6F">
        <w:t>toolbox talks</w:t>
      </w:r>
      <w:r w:rsidR="00787434" w:rsidRPr="004B4D6F">
        <w:t xml:space="preserve">, onsite visits, and </w:t>
      </w:r>
      <w:r w:rsidR="00D7370A" w:rsidRPr="004B4D6F">
        <w:t>hands</w:t>
      </w:r>
      <w:r w:rsidR="004B4D6F">
        <w:t>-</w:t>
      </w:r>
      <w:r w:rsidR="00D7370A" w:rsidRPr="004B4D6F">
        <w:t xml:space="preserve">on </w:t>
      </w:r>
      <w:r w:rsidR="00045640" w:rsidRPr="004B4D6F">
        <w:t xml:space="preserve">educational </w:t>
      </w:r>
      <w:r w:rsidR="00787434" w:rsidRPr="004B4D6F">
        <w:t xml:space="preserve">sessions </w:t>
      </w:r>
      <w:r w:rsidR="00D4484F" w:rsidRPr="004B4D6F">
        <w:t xml:space="preserve">for employers </w:t>
      </w:r>
      <w:r w:rsidR="00787434" w:rsidRPr="004B4D6F">
        <w:t>and employees.</w:t>
      </w:r>
      <w:r w:rsidR="00787434">
        <w:t xml:space="preserve"> </w:t>
      </w:r>
      <w:r w:rsidR="009D05AF" w:rsidRPr="009D05AF">
        <w:t xml:space="preserve">  </w:t>
      </w:r>
    </w:p>
    <w:p w14:paraId="672186B5" w14:textId="77777777" w:rsidR="00B21B52" w:rsidRPr="00016F06" w:rsidRDefault="00B21B52" w:rsidP="00FD5D87"/>
    <w:p w14:paraId="5A0B7856" w14:textId="77777777" w:rsidR="00FD5D87" w:rsidRPr="00045640" w:rsidRDefault="00FD5D87" w:rsidP="00FD5D87">
      <w:pPr>
        <w:shd w:val="clear" w:color="auto" w:fill="FFFFFF"/>
        <w:spacing w:before="75" w:after="150" w:line="300" w:lineRule="atLeast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045640">
        <w:rPr>
          <w:rFonts w:asciiTheme="minorHAnsi" w:hAnsiTheme="minorHAnsi"/>
          <w:b/>
          <w:i/>
          <w:color w:val="FF0000"/>
          <w:sz w:val="28"/>
          <w:szCs w:val="28"/>
        </w:rPr>
        <w:t>Construction's "Fatal Four"</w:t>
      </w:r>
    </w:p>
    <w:p w14:paraId="0514596E" w14:textId="1A13C8C4" w:rsidR="00FD5D87" w:rsidRPr="00761F13" w:rsidRDefault="00FD5D87" w:rsidP="00FD5D87">
      <w:pPr>
        <w:rPr>
          <w:rFonts w:asciiTheme="minorHAnsi" w:hAnsiTheme="minorHAnsi" w:cs="Tahoma"/>
          <w:color w:val="000000"/>
          <w:highlight w:val="yellow"/>
        </w:rPr>
      </w:pPr>
      <w:r w:rsidRPr="00B31B56">
        <w:rPr>
          <w:rFonts w:asciiTheme="minorHAnsi" w:hAnsiTheme="minorHAnsi" w:cs="Tahoma"/>
          <w:color w:val="000000"/>
        </w:rPr>
        <w:t xml:space="preserve">Out of </w:t>
      </w:r>
      <w:r w:rsidR="009C18DD">
        <w:rPr>
          <w:rFonts w:asciiTheme="minorHAnsi" w:hAnsiTheme="minorHAnsi" w:cs="Tahoma"/>
          <w:b/>
          <w:color w:val="000000"/>
        </w:rPr>
        <w:t>5,190</w:t>
      </w:r>
      <w:r w:rsidRPr="00B31B56">
        <w:rPr>
          <w:rFonts w:asciiTheme="minorHAnsi" w:hAnsiTheme="minorHAnsi" w:cs="Tahoma"/>
          <w:color w:val="000000"/>
        </w:rPr>
        <w:t xml:space="preserve"> worker fatalities in private industry in calendar year 20</w:t>
      </w:r>
      <w:r w:rsidR="00E11B89">
        <w:rPr>
          <w:rFonts w:asciiTheme="minorHAnsi" w:hAnsiTheme="minorHAnsi" w:cs="Tahoma"/>
          <w:color w:val="000000"/>
        </w:rPr>
        <w:t>2</w:t>
      </w:r>
      <w:r w:rsidR="009C18DD">
        <w:rPr>
          <w:rFonts w:asciiTheme="minorHAnsi" w:hAnsiTheme="minorHAnsi" w:cs="Tahoma"/>
          <w:color w:val="000000"/>
        </w:rPr>
        <w:t>1</w:t>
      </w:r>
      <w:r w:rsidR="00D01B9A" w:rsidRPr="00B31B56">
        <w:rPr>
          <w:rFonts w:asciiTheme="minorHAnsi" w:hAnsiTheme="minorHAnsi" w:cs="Tahoma"/>
          <w:color w:val="000000"/>
        </w:rPr>
        <w:t xml:space="preserve"> </w:t>
      </w:r>
      <w:r w:rsidR="00B5018C" w:rsidRPr="00B31B56">
        <w:rPr>
          <w:rFonts w:asciiTheme="minorHAnsi" w:hAnsiTheme="minorHAnsi" w:cs="Tahoma"/>
          <w:b/>
          <w:color w:val="000000"/>
          <w:vertAlign w:val="superscript"/>
        </w:rPr>
        <w:t>(1)</w:t>
      </w:r>
      <w:r w:rsidRPr="00B31B56">
        <w:rPr>
          <w:rFonts w:asciiTheme="minorHAnsi" w:hAnsiTheme="minorHAnsi" w:cs="Tahoma"/>
          <w:color w:val="000000"/>
        </w:rPr>
        <w:t xml:space="preserve">, </w:t>
      </w:r>
      <w:r w:rsidR="009C18DD" w:rsidRPr="009C18DD">
        <w:rPr>
          <w:rFonts w:asciiTheme="minorHAnsi" w:hAnsiTheme="minorHAnsi" w:cs="Tahoma"/>
          <w:b/>
          <w:bCs/>
          <w:color w:val="000000"/>
        </w:rPr>
        <w:t>968</w:t>
      </w:r>
      <w:r w:rsidRPr="00B31B56">
        <w:rPr>
          <w:rFonts w:asciiTheme="minorHAnsi" w:hAnsiTheme="minorHAnsi" w:cs="Tahoma"/>
          <w:color w:val="000000"/>
        </w:rPr>
        <w:t xml:space="preserve"> or </w:t>
      </w:r>
      <w:r w:rsidR="009C18DD">
        <w:rPr>
          <w:rFonts w:asciiTheme="minorHAnsi" w:hAnsiTheme="minorHAnsi" w:cs="Tahoma"/>
          <w:color w:val="000000"/>
        </w:rPr>
        <w:t>19</w:t>
      </w:r>
      <w:r w:rsidRPr="00B31B56">
        <w:rPr>
          <w:rFonts w:asciiTheme="minorHAnsi" w:hAnsiTheme="minorHAnsi" w:cs="Tahoma"/>
          <w:color w:val="000000"/>
        </w:rPr>
        <w:t xml:space="preserve">% were in construction―that is, </w:t>
      </w:r>
      <w:r w:rsidR="009C18DD">
        <w:rPr>
          <w:rFonts w:asciiTheme="minorHAnsi" w:hAnsiTheme="minorHAnsi" w:cs="Tahoma"/>
          <w:color w:val="000000"/>
        </w:rPr>
        <w:t xml:space="preserve">approximately </w:t>
      </w:r>
      <w:r w:rsidRPr="00F51059">
        <w:rPr>
          <w:rFonts w:asciiTheme="minorHAnsi" w:hAnsiTheme="minorHAnsi" w:cs="Tahoma"/>
          <w:b/>
          <w:color w:val="FF0000"/>
          <w:u w:val="single"/>
        </w:rPr>
        <w:t>one in five worker deaths were in construction.</w:t>
      </w:r>
      <w:r w:rsidR="00314E88" w:rsidRPr="00F51059">
        <w:rPr>
          <w:rFonts w:asciiTheme="minorHAnsi" w:hAnsiTheme="minorHAnsi" w:cs="Tahoma"/>
          <w:b/>
          <w:color w:val="FF0000"/>
          <w:highlight w:val="yellow"/>
          <w:u w:val="single"/>
        </w:rPr>
        <w:t xml:space="preserve"> </w:t>
      </w:r>
    </w:p>
    <w:p w14:paraId="78B790CC" w14:textId="77777777" w:rsidR="00FD5D87" w:rsidRPr="00761F13" w:rsidRDefault="00FD5D87" w:rsidP="00016F06">
      <w:pPr>
        <w:rPr>
          <w:rFonts w:asciiTheme="minorHAnsi" w:hAnsiTheme="minorHAnsi" w:cs="Tahoma"/>
          <w:color w:val="000000"/>
          <w:highlight w:val="yellow"/>
        </w:rPr>
      </w:pPr>
    </w:p>
    <w:p w14:paraId="353AD906" w14:textId="53C555D3" w:rsidR="003B420C" w:rsidRPr="00761F13" w:rsidRDefault="00FD5D87" w:rsidP="00016F06">
      <w:pPr>
        <w:rPr>
          <w:rFonts w:asciiTheme="minorHAnsi" w:hAnsiTheme="minorHAnsi" w:cs="Tahoma"/>
          <w:color w:val="000000"/>
          <w:highlight w:val="yellow"/>
        </w:rPr>
      </w:pPr>
      <w:r w:rsidRPr="00B31B56">
        <w:rPr>
          <w:rFonts w:asciiTheme="minorHAnsi" w:hAnsiTheme="minorHAnsi" w:cs="Tahoma"/>
          <w:color w:val="000000"/>
        </w:rPr>
        <w:t xml:space="preserve">The leading causes of worker deaths on construction sites were falls, followed by struck-by, </w:t>
      </w:r>
      <w:r w:rsidR="009C18DD">
        <w:rPr>
          <w:rFonts w:asciiTheme="minorHAnsi" w:hAnsiTheme="minorHAnsi" w:cs="Tahoma"/>
          <w:color w:val="000000"/>
        </w:rPr>
        <w:t xml:space="preserve">electrocutions, and </w:t>
      </w:r>
      <w:r w:rsidRPr="00B31B56">
        <w:rPr>
          <w:rFonts w:asciiTheme="minorHAnsi" w:hAnsiTheme="minorHAnsi" w:cs="Tahoma"/>
          <w:color w:val="000000"/>
        </w:rPr>
        <w:t xml:space="preserve">caught-in/between. </w:t>
      </w:r>
      <w:r w:rsidRPr="00787434">
        <w:rPr>
          <w:rFonts w:asciiTheme="minorHAnsi" w:hAnsiTheme="minorHAnsi" w:cs="Tahoma"/>
          <w:color w:val="000000"/>
        </w:rPr>
        <w:t xml:space="preserve">These "Fatal Four" hazards were responsible for well over half </w:t>
      </w:r>
      <w:r w:rsidRPr="004B4D6F">
        <w:rPr>
          <w:rFonts w:asciiTheme="minorHAnsi" w:hAnsiTheme="minorHAnsi" w:cs="Tahoma"/>
        </w:rPr>
        <w:t>(</w:t>
      </w:r>
      <w:r w:rsidR="00522398" w:rsidRPr="004B4D6F">
        <w:rPr>
          <w:rFonts w:asciiTheme="minorHAnsi" w:hAnsiTheme="minorHAnsi" w:cs="Tahoma"/>
        </w:rPr>
        <w:t>5</w:t>
      </w:r>
      <w:r w:rsidR="00A32458" w:rsidRPr="004B4D6F">
        <w:rPr>
          <w:rFonts w:asciiTheme="minorHAnsi" w:hAnsiTheme="minorHAnsi" w:cs="Tahoma"/>
        </w:rPr>
        <w:t>9</w:t>
      </w:r>
      <w:r w:rsidRPr="004B4D6F">
        <w:rPr>
          <w:rFonts w:asciiTheme="minorHAnsi" w:hAnsiTheme="minorHAnsi" w:cs="Tahoma"/>
        </w:rPr>
        <w:t>%)</w:t>
      </w:r>
      <w:r w:rsidRPr="00787434">
        <w:rPr>
          <w:rFonts w:asciiTheme="minorHAnsi" w:hAnsiTheme="minorHAnsi" w:cs="Tahoma"/>
        </w:rPr>
        <w:t xml:space="preserve"> </w:t>
      </w:r>
      <w:r w:rsidRPr="00787434">
        <w:rPr>
          <w:rFonts w:asciiTheme="minorHAnsi" w:hAnsiTheme="minorHAnsi" w:cs="Tahoma"/>
          <w:color w:val="000000"/>
        </w:rPr>
        <w:t xml:space="preserve">of the </w:t>
      </w:r>
      <w:hyperlink r:id="rId11" w:tooltip="construction worker deaths in 2015" w:history="1">
        <w:r w:rsidRPr="00787434">
          <w:rPr>
            <w:rStyle w:val="Hyperlink"/>
            <w:rFonts w:asciiTheme="minorHAnsi" w:hAnsiTheme="minorHAnsi" w:cs="Tahoma"/>
          </w:rPr>
          <w:t>construction worker deaths in 20</w:t>
        </w:r>
        <w:r w:rsidR="00E11B89" w:rsidRPr="00787434">
          <w:rPr>
            <w:rStyle w:val="Hyperlink"/>
            <w:rFonts w:asciiTheme="minorHAnsi" w:hAnsiTheme="minorHAnsi" w:cs="Tahoma"/>
          </w:rPr>
          <w:t>2</w:t>
        </w:r>
        <w:r w:rsidR="009C18DD">
          <w:rPr>
            <w:rStyle w:val="Hyperlink"/>
            <w:rFonts w:asciiTheme="minorHAnsi" w:hAnsiTheme="minorHAnsi" w:cs="Tahoma"/>
          </w:rPr>
          <w:t>1</w:t>
        </w:r>
        <w:r w:rsidRPr="00787434">
          <w:rPr>
            <w:rStyle w:val="Hyperlink"/>
            <w:rFonts w:asciiTheme="minorHAnsi" w:hAnsiTheme="minorHAnsi" w:cs="Tahoma"/>
          </w:rPr>
          <w:t>*, according to BLS reports</w:t>
        </w:r>
      </w:hyperlink>
      <w:r w:rsidR="00B31B56" w:rsidRPr="00787434">
        <w:rPr>
          <w:rFonts w:asciiTheme="minorHAnsi" w:hAnsiTheme="minorHAnsi" w:cs="Tahoma"/>
          <w:color w:val="000000"/>
          <w:vertAlign w:val="superscript"/>
        </w:rPr>
        <w:t>(2</w:t>
      </w:r>
      <w:r w:rsidR="00B31B56" w:rsidRPr="00045640">
        <w:rPr>
          <w:rFonts w:asciiTheme="minorHAnsi" w:hAnsiTheme="minorHAnsi" w:cs="Tahoma"/>
          <w:color w:val="000000"/>
          <w:vertAlign w:val="superscript"/>
        </w:rPr>
        <w:t>)</w:t>
      </w:r>
      <w:r w:rsidRPr="00045640">
        <w:rPr>
          <w:rFonts w:asciiTheme="minorHAnsi" w:hAnsiTheme="minorHAnsi" w:cs="Tahoma"/>
          <w:color w:val="000000"/>
          <w:vertAlign w:val="superscript"/>
        </w:rPr>
        <w:t>.</w:t>
      </w:r>
      <w:r w:rsidRPr="00787434">
        <w:rPr>
          <w:rFonts w:asciiTheme="minorHAnsi" w:hAnsiTheme="minorHAnsi" w:cs="Tahoma"/>
          <w:color w:val="000000"/>
          <w:highlight w:val="yellow"/>
        </w:rPr>
        <w:t xml:space="preserve"> </w:t>
      </w:r>
    </w:p>
    <w:p w14:paraId="2DA478D9" w14:textId="73841400" w:rsidR="00FD5D87" w:rsidRPr="00336BFC" w:rsidRDefault="00FD5D87" w:rsidP="00FD5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 w:cs="Tahoma"/>
          <w:color w:val="000000"/>
        </w:rPr>
      </w:pPr>
      <w:r w:rsidRPr="00336BFC">
        <w:rPr>
          <w:rFonts w:asciiTheme="minorHAnsi" w:hAnsiTheme="minorHAnsi" w:cs="Tahoma"/>
          <w:b/>
          <w:color w:val="000000"/>
        </w:rPr>
        <w:t>Falls</w:t>
      </w:r>
      <w:r w:rsidRPr="00336BFC">
        <w:rPr>
          <w:rFonts w:asciiTheme="minorHAnsi" w:hAnsiTheme="minorHAnsi" w:cs="Tahoma"/>
          <w:color w:val="000000"/>
        </w:rPr>
        <w:t xml:space="preserve"> — </w:t>
      </w:r>
      <w:r w:rsidR="00644834">
        <w:rPr>
          <w:rFonts w:asciiTheme="minorHAnsi" w:hAnsiTheme="minorHAnsi" w:cs="Tahoma"/>
          <w:color w:val="000000"/>
        </w:rPr>
        <w:t>3</w:t>
      </w:r>
      <w:r w:rsidR="009C18DD">
        <w:rPr>
          <w:rFonts w:asciiTheme="minorHAnsi" w:hAnsiTheme="minorHAnsi" w:cs="Tahoma"/>
          <w:color w:val="000000"/>
        </w:rPr>
        <w:t>90</w:t>
      </w:r>
      <w:r w:rsidRPr="00336BFC">
        <w:rPr>
          <w:rFonts w:asciiTheme="minorHAnsi" w:hAnsiTheme="minorHAnsi" w:cs="Tahoma"/>
          <w:color w:val="000000"/>
        </w:rPr>
        <w:t xml:space="preserve"> (</w:t>
      </w:r>
      <w:r w:rsidR="00045640">
        <w:rPr>
          <w:rFonts w:asciiTheme="minorHAnsi" w:hAnsiTheme="minorHAnsi" w:cs="Tahoma"/>
          <w:color w:val="000000"/>
        </w:rPr>
        <w:t>~</w:t>
      </w:r>
      <w:r w:rsidR="009C18DD">
        <w:rPr>
          <w:rFonts w:asciiTheme="minorHAnsi" w:hAnsiTheme="minorHAnsi" w:cs="Tahoma"/>
          <w:color w:val="000000"/>
        </w:rPr>
        <w:t>40</w:t>
      </w:r>
      <w:r w:rsidRPr="00336BFC">
        <w:rPr>
          <w:rFonts w:asciiTheme="minorHAnsi" w:hAnsiTheme="minorHAnsi" w:cs="Tahoma"/>
          <w:color w:val="000000"/>
        </w:rPr>
        <w:t>%)</w:t>
      </w:r>
    </w:p>
    <w:p w14:paraId="19BCE31E" w14:textId="777D309B" w:rsidR="007F10BA" w:rsidRPr="00336BFC" w:rsidRDefault="007F10BA" w:rsidP="007F1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 w:cs="Tahoma"/>
          <w:color w:val="000000"/>
        </w:rPr>
      </w:pPr>
      <w:r w:rsidRPr="00336BFC">
        <w:rPr>
          <w:rFonts w:asciiTheme="minorHAnsi" w:hAnsiTheme="minorHAnsi" w:cs="Tahoma"/>
          <w:b/>
          <w:color w:val="000000"/>
        </w:rPr>
        <w:t>Struck by Object</w:t>
      </w:r>
      <w:r w:rsidRPr="00336BFC">
        <w:rPr>
          <w:rFonts w:asciiTheme="minorHAnsi" w:hAnsiTheme="minorHAnsi" w:cs="Tahoma"/>
          <w:color w:val="000000"/>
        </w:rPr>
        <w:t xml:space="preserve"> - </w:t>
      </w:r>
      <w:r w:rsidR="009C18DD">
        <w:rPr>
          <w:rFonts w:asciiTheme="minorHAnsi" w:hAnsiTheme="minorHAnsi" w:cs="Tahoma"/>
          <w:color w:val="000000"/>
        </w:rPr>
        <w:t>75</w:t>
      </w:r>
      <w:r w:rsidRPr="00336BFC">
        <w:rPr>
          <w:rFonts w:asciiTheme="minorHAnsi" w:hAnsiTheme="minorHAnsi" w:cs="Tahoma"/>
          <w:color w:val="000000"/>
        </w:rPr>
        <w:t xml:space="preserve"> (</w:t>
      </w:r>
      <w:r w:rsidR="009C18DD">
        <w:rPr>
          <w:rFonts w:asciiTheme="minorHAnsi" w:hAnsiTheme="minorHAnsi" w:cs="Tahoma"/>
          <w:color w:val="000000"/>
        </w:rPr>
        <w:t>~</w:t>
      </w:r>
      <w:r w:rsidR="00B31B56">
        <w:rPr>
          <w:rFonts w:asciiTheme="minorHAnsi" w:hAnsiTheme="minorHAnsi" w:cs="Tahoma"/>
          <w:color w:val="000000"/>
        </w:rPr>
        <w:t>8</w:t>
      </w:r>
      <w:r w:rsidRPr="00336BFC">
        <w:rPr>
          <w:rFonts w:asciiTheme="minorHAnsi" w:hAnsiTheme="minorHAnsi" w:cs="Tahoma"/>
          <w:color w:val="000000"/>
        </w:rPr>
        <w:t>%)</w:t>
      </w:r>
    </w:p>
    <w:p w14:paraId="7E61B7E8" w14:textId="18BE9516" w:rsidR="00FD5D87" w:rsidRPr="00336BFC" w:rsidRDefault="00FD5D87" w:rsidP="00FD5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 w:cs="Tahoma"/>
          <w:color w:val="000000"/>
        </w:rPr>
      </w:pPr>
      <w:r w:rsidRPr="00336BFC">
        <w:rPr>
          <w:rFonts w:asciiTheme="minorHAnsi" w:hAnsiTheme="minorHAnsi" w:cs="Tahoma"/>
          <w:b/>
          <w:color w:val="000000"/>
        </w:rPr>
        <w:t>Electrocutions</w:t>
      </w:r>
      <w:r w:rsidRPr="00336BFC">
        <w:rPr>
          <w:rFonts w:asciiTheme="minorHAnsi" w:hAnsiTheme="minorHAnsi" w:cs="Tahoma"/>
          <w:color w:val="000000"/>
        </w:rPr>
        <w:t xml:space="preserve"> - </w:t>
      </w:r>
      <w:r w:rsidR="009C18DD">
        <w:rPr>
          <w:rFonts w:asciiTheme="minorHAnsi" w:hAnsiTheme="minorHAnsi" w:cs="Tahoma"/>
          <w:color w:val="000000"/>
        </w:rPr>
        <w:t>74</w:t>
      </w:r>
      <w:r w:rsidR="007F10BA" w:rsidRPr="00336BFC">
        <w:rPr>
          <w:rFonts w:asciiTheme="minorHAnsi" w:hAnsiTheme="minorHAnsi" w:cs="Tahoma"/>
          <w:color w:val="000000"/>
        </w:rPr>
        <w:t xml:space="preserve"> (</w:t>
      </w:r>
      <w:r w:rsidR="009C18DD">
        <w:rPr>
          <w:rFonts w:asciiTheme="minorHAnsi" w:hAnsiTheme="minorHAnsi" w:cs="Tahoma"/>
          <w:color w:val="000000"/>
        </w:rPr>
        <w:t>~8</w:t>
      </w:r>
      <w:r w:rsidRPr="00336BFC">
        <w:rPr>
          <w:rFonts w:asciiTheme="minorHAnsi" w:hAnsiTheme="minorHAnsi" w:cs="Tahoma"/>
          <w:color w:val="000000"/>
        </w:rPr>
        <w:t>%)</w:t>
      </w:r>
    </w:p>
    <w:p w14:paraId="05D94076" w14:textId="1B80B7DF" w:rsidR="00DC1289" w:rsidRPr="00A745D0" w:rsidRDefault="00FD5D87" w:rsidP="00B442C4">
      <w:pPr>
        <w:numPr>
          <w:ilvl w:val="0"/>
          <w:numId w:val="1"/>
        </w:numPr>
        <w:shd w:val="clear" w:color="auto" w:fill="FFFFFF"/>
        <w:spacing w:before="100" w:beforeAutospacing="1" w:line="300" w:lineRule="atLeast"/>
        <w:ind w:left="375"/>
        <w:rPr>
          <w:rFonts w:asciiTheme="minorHAnsi" w:hAnsiTheme="minorHAnsi"/>
        </w:rPr>
      </w:pPr>
      <w:r w:rsidRPr="00A745D0">
        <w:rPr>
          <w:rFonts w:asciiTheme="minorHAnsi" w:hAnsiTheme="minorHAnsi" w:cs="Tahoma"/>
          <w:b/>
          <w:color w:val="000000"/>
        </w:rPr>
        <w:t>Caught-in/between*</w:t>
      </w:r>
      <w:r w:rsidRPr="00A745D0">
        <w:rPr>
          <w:rFonts w:asciiTheme="minorHAnsi" w:hAnsiTheme="minorHAnsi" w:cs="Tahoma"/>
          <w:color w:val="000000"/>
        </w:rPr>
        <w:t xml:space="preserve"> - </w:t>
      </w:r>
      <w:r w:rsidR="009C18DD">
        <w:rPr>
          <w:rFonts w:asciiTheme="minorHAnsi" w:hAnsiTheme="minorHAnsi" w:cs="Tahoma"/>
          <w:color w:val="000000"/>
        </w:rPr>
        <w:t>29</w:t>
      </w:r>
      <w:r w:rsidRPr="00A745D0">
        <w:rPr>
          <w:rFonts w:asciiTheme="minorHAnsi" w:hAnsiTheme="minorHAnsi" w:cs="Tahoma"/>
          <w:color w:val="000000"/>
        </w:rPr>
        <w:t xml:space="preserve"> (</w:t>
      </w:r>
      <w:r w:rsidR="00B31B56" w:rsidRPr="00A745D0">
        <w:rPr>
          <w:rFonts w:asciiTheme="minorHAnsi" w:hAnsiTheme="minorHAnsi" w:cs="Tahoma"/>
          <w:color w:val="000000"/>
        </w:rPr>
        <w:t>~</w:t>
      </w:r>
      <w:r w:rsidR="009C18DD">
        <w:rPr>
          <w:rFonts w:asciiTheme="minorHAnsi" w:hAnsiTheme="minorHAnsi" w:cs="Tahoma"/>
          <w:color w:val="000000"/>
        </w:rPr>
        <w:t>3</w:t>
      </w:r>
      <w:r w:rsidRPr="00A745D0">
        <w:rPr>
          <w:rFonts w:asciiTheme="minorHAnsi" w:hAnsiTheme="minorHAnsi" w:cs="Tahoma"/>
          <w:color w:val="000000"/>
        </w:rPr>
        <w:t>%)</w:t>
      </w:r>
      <w:r w:rsidR="00B31B56" w:rsidRPr="00A745D0">
        <w:rPr>
          <w:rFonts w:asciiTheme="minorHAnsi" w:hAnsiTheme="minorHAnsi" w:cs="Tahoma"/>
          <w:color w:val="000000"/>
        </w:rPr>
        <w:t xml:space="preserve"> </w:t>
      </w:r>
    </w:p>
    <w:p w14:paraId="7A8AA809" w14:textId="23B6CCE9" w:rsidR="00FD5D87" w:rsidRPr="00F51059" w:rsidRDefault="00FD5D87" w:rsidP="00644853">
      <w:pPr>
        <w:shd w:val="clear" w:color="auto" w:fill="FFFFFF"/>
        <w:ind w:left="375"/>
        <w:rPr>
          <w:rFonts w:asciiTheme="minorHAnsi" w:hAnsiTheme="minorHAnsi"/>
          <w:sz w:val="18"/>
          <w:szCs w:val="18"/>
        </w:rPr>
      </w:pPr>
      <w:r w:rsidRPr="009C18DD">
        <w:rPr>
          <w:rFonts w:asciiTheme="minorHAnsi" w:hAnsiTheme="minorHAnsi" w:cs="Tahoma"/>
          <w:b/>
          <w:bCs/>
          <w:color w:val="000000"/>
          <w:sz w:val="18"/>
          <w:szCs w:val="18"/>
        </w:rPr>
        <w:t>*</w:t>
      </w:r>
      <w:r w:rsidRPr="00F51059">
        <w:rPr>
          <w:rFonts w:asciiTheme="minorHAnsi" w:hAnsiTheme="minorHAnsi" w:cs="Tahoma"/>
          <w:color w:val="000000"/>
          <w:sz w:val="18"/>
          <w:szCs w:val="18"/>
        </w:rPr>
        <w:t xml:space="preserve">This </w:t>
      </w:r>
      <w:r w:rsidR="009C18DD">
        <w:rPr>
          <w:rFonts w:asciiTheme="minorHAnsi" w:hAnsiTheme="minorHAnsi" w:cs="Tahoma"/>
          <w:color w:val="000000"/>
          <w:sz w:val="18"/>
          <w:szCs w:val="18"/>
        </w:rPr>
        <w:t>is the minimum number of fatalities due to non-published data from the Bureau of Labor Statistics (BLS)</w:t>
      </w:r>
      <w:r w:rsidR="009C18DD" w:rsidRPr="009C18DD">
        <w:rPr>
          <w:rFonts w:asciiTheme="minorHAnsi" w:hAnsiTheme="minorHAnsi" w:cs="Tahoma"/>
          <w:b/>
          <w:bCs/>
          <w:color w:val="000000"/>
          <w:sz w:val="18"/>
          <w:szCs w:val="18"/>
        </w:rPr>
        <w:t>*</w:t>
      </w:r>
    </w:p>
    <w:p w14:paraId="72ECB678" w14:textId="6CA867A5" w:rsidR="003B420C" w:rsidRPr="009C18DD" w:rsidRDefault="00527DBC" w:rsidP="00045640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Theme="minorHAnsi" w:hAnsiTheme="minorHAnsi"/>
          <w:sz w:val="28"/>
          <w:szCs w:val="28"/>
        </w:rPr>
      </w:pPr>
      <w:r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 xml:space="preserve">Eliminating these Four Hazards would save </w:t>
      </w:r>
      <w:r w:rsidR="009C18DD"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 xml:space="preserve">a minimum of </w:t>
      </w:r>
      <w:r w:rsidR="00042697"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>5</w:t>
      </w:r>
      <w:r w:rsidR="009C18DD"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>68</w:t>
      </w:r>
      <w:r w:rsidR="00042697"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 xml:space="preserve"> </w:t>
      </w:r>
      <w:r w:rsidRPr="009C18DD">
        <w:rPr>
          <w:rFonts w:asciiTheme="minorHAnsi" w:hAnsiTheme="minorHAnsi" w:cs="Tahoma"/>
          <w:b/>
          <w:bCs/>
          <w:i/>
          <w:color w:val="FF0000"/>
          <w:sz w:val="28"/>
          <w:szCs w:val="28"/>
        </w:rPr>
        <w:t>workers' lives</w:t>
      </w:r>
      <w:r w:rsidRPr="009C18DD">
        <w:rPr>
          <w:rFonts w:asciiTheme="minorHAnsi" w:hAnsiTheme="minorHAnsi" w:cs="Tahoma"/>
          <w:i/>
          <w:color w:val="FF0000"/>
          <w:sz w:val="28"/>
          <w:szCs w:val="28"/>
        </w:rPr>
        <w:t>.</w:t>
      </w:r>
    </w:p>
    <w:p w14:paraId="7E210483" w14:textId="782F38E8" w:rsidR="00DC1289" w:rsidRDefault="00FD5D87" w:rsidP="00FD5D87">
      <w:pPr>
        <w:rPr>
          <w:rFonts w:asciiTheme="minorHAnsi" w:hAnsiTheme="minorHAnsi"/>
        </w:rPr>
      </w:pPr>
      <w:r w:rsidRPr="003B420C">
        <w:rPr>
          <w:rFonts w:asciiTheme="minorHAnsi" w:hAnsiTheme="minorHAnsi"/>
        </w:rPr>
        <w:t xml:space="preserve">We appreciate your assistance </w:t>
      </w:r>
      <w:r w:rsidR="00527DBC">
        <w:rPr>
          <w:rFonts w:asciiTheme="minorHAnsi" w:hAnsiTheme="minorHAnsi"/>
        </w:rPr>
        <w:t xml:space="preserve">and support </w:t>
      </w:r>
      <w:r w:rsidRPr="003B420C">
        <w:rPr>
          <w:rFonts w:asciiTheme="minorHAnsi" w:hAnsiTheme="minorHAnsi"/>
        </w:rPr>
        <w:t>with this campaign</w:t>
      </w:r>
      <w:r w:rsidR="00527DBC">
        <w:rPr>
          <w:rFonts w:asciiTheme="minorHAnsi" w:hAnsiTheme="minorHAnsi"/>
        </w:rPr>
        <w:t xml:space="preserve">.  </w:t>
      </w:r>
      <w:r w:rsidR="00DC1289">
        <w:rPr>
          <w:rFonts w:asciiTheme="minorHAnsi" w:hAnsiTheme="minorHAnsi"/>
        </w:rPr>
        <w:t xml:space="preserve">We encourage you to provide feedback which will </w:t>
      </w:r>
      <w:r w:rsidRPr="003B420C">
        <w:rPr>
          <w:rFonts w:asciiTheme="minorHAnsi" w:hAnsiTheme="minorHAnsi"/>
        </w:rPr>
        <w:t xml:space="preserve">assist us in </w:t>
      </w:r>
      <w:r w:rsidR="00F51059">
        <w:rPr>
          <w:rFonts w:asciiTheme="minorHAnsi" w:hAnsiTheme="minorHAnsi"/>
        </w:rPr>
        <w:t xml:space="preserve">developing </w:t>
      </w:r>
      <w:r w:rsidR="007F10BA" w:rsidRPr="003B420C">
        <w:rPr>
          <w:rFonts w:asciiTheme="minorHAnsi" w:hAnsiTheme="minorHAnsi"/>
        </w:rPr>
        <w:t xml:space="preserve">future </w:t>
      </w:r>
      <w:r w:rsidRPr="003B420C">
        <w:rPr>
          <w:rFonts w:asciiTheme="minorHAnsi" w:hAnsiTheme="minorHAnsi"/>
        </w:rPr>
        <w:t>efforts and evaluating our impact in the construction industry.  </w:t>
      </w:r>
      <w:r w:rsidR="00D4484F" w:rsidRPr="003B420C">
        <w:rPr>
          <w:rFonts w:asciiTheme="minorHAnsi" w:hAnsiTheme="minorHAnsi"/>
        </w:rPr>
        <w:t>All</w:t>
      </w:r>
      <w:r w:rsidRPr="003B420C">
        <w:rPr>
          <w:rFonts w:asciiTheme="minorHAnsi" w:hAnsiTheme="minorHAnsi"/>
        </w:rPr>
        <w:t xml:space="preserve"> </w:t>
      </w:r>
      <w:r w:rsidR="007F10BA" w:rsidRPr="003B420C">
        <w:rPr>
          <w:rFonts w:asciiTheme="minorHAnsi" w:hAnsiTheme="minorHAnsi"/>
        </w:rPr>
        <w:t xml:space="preserve">voluntary </w:t>
      </w:r>
      <w:r w:rsidRPr="003B420C">
        <w:rPr>
          <w:rFonts w:asciiTheme="minorHAnsi" w:hAnsiTheme="minorHAnsi"/>
        </w:rPr>
        <w:t xml:space="preserve">feedback </w:t>
      </w:r>
      <w:r w:rsidR="00D4484F" w:rsidRPr="003B420C">
        <w:rPr>
          <w:rFonts w:asciiTheme="minorHAnsi" w:hAnsiTheme="minorHAnsi"/>
        </w:rPr>
        <w:t xml:space="preserve">may be sent </w:t>
      </w:r>
      <w:r w:rsidRPr="003B420C">
        <w:rPr>
          <w:rFonts w:asciiTheme="minorHAnsi" w:hAnsiTheme="minorHAnsi"/>
        </w:rPr>
        <w:t xml:space="preserve">to OSHA’s </w:t>
      </w:r>
      <w:r w:rsidR="007F10BA" w:rsidRPr="003B420C">
        <w:rPr>
          <w:rFonts w:asciiTheme="minorHAnsi" w:hAnsiTheme="minorHAnsi"/>
        </w:rPr>
        <w:t>desig</w:t>
      </w:r>
      <w:r w:rsidR="00D4484F" w:rsidRPr="003B420C">
        <w:rPr>
          <w:rFonts w:asciiTheme="minorHAnsi" w:hAnsiTheme="minorHAnsi"/>
        </w:rPr>
        <w:t>nated Focus 4 campaign account at</w:t>
      </w:r>
      <w:r w:rsidR="007F10BA" w:rsidRPr="003B420C">
        <w:rPr>
          <w:rFonts w:asciiTheme="minorHAnsi" w:hAnsiTheme="minorHAnsi"/>
        </w:rPr>
        <w:t xml:space="preserve"> </w:t>
      </w:r>
    </w:p>
    <w:p w14:paraId="53B71D95" w14:textId="77777777" w:rsidR="00FD5D87" w:rsidRPr="00DC1289" w:rsidRDefault="00000000" w:rsidP="00FD5D87">
      <w:pPr>
        <w:rPr>
          <w:i/>
        </w:rPr>
      </w:pPr>
      <w:hyperlink r:id="rId12" w:history="1">
        <w:r w:rsidR="007F10BA" w:rsidRPr="003B420C">
          <w:rPr>
            <w:rStyle w:val="Hyperlink"/>
            <w:rFonts w:asciiTheme="minorHAnsi" w:hAnsiTheme="minorHAnsi"/>
          </w:rPr>
          <w:t>OSHA-Focus4-Region3@dol.gov</w:t>
        </w:r>
      </w:hyperlink>
      <w:r w:rsidR="00557F0F">
        <w:rPr>
          <w:rFonts w:asciiTheme="minorHAnsi" w:hAnsiTheme="minorHAnsi"/>
        </w:rPr>
        <w:t xml:space="preserve">.  </w:t>
      </w:r>
      <w:r w:rsidR="00D4484F" w:rsidRPr="003B420C">
        <w:rPr>
          <w:rFonts w:asciiTheme="minorHAnsi" w:hAnsiTheme="minorHAnsi"/>
        </w:rPr>
        <w:t xml:space="preserve">We thank you for your part in bringing awareness to these </w:t>
      </w:r>
      <w:r w:rsidR="00D4484F" w:rsidRPr="00DC1289">
        <w:rPr>
          <w:rFonts w:asciiTheme="minorHAnsi" w:hAnsiTheme="minorHAnsi"/>
          <w:b/>
          <w:i/>
        </w:rPr>
        <w:t>preventable incidents</w:t>
      </w:r>
      <w:r w:rsidR="00D4484F" w:rsidRPr="00DC1289">
        <w:rPr>
          <w:rFonts w:asciiTheme="minorHAnsi" w:hAnsiTheme="minorHAnsi"/>
          <w:i/>
        </w:rPr>
        <w:t>.</w:t>
      </w:r>
    </w:p>
    <w:p w14:paraId="0CB05D1C" w14:textId="64F0BE9B" w:rsidR="006A23F4" w:rsidRDefault="006A23F4" w:rsidP="00FD5D87"/>
    <w:p w14:paraId="02CD2C6F" w14:textId="142E55ED" w:rsidR="006A23F4" w:rsidRDefault="006A23F4" w:rsidP="00FD5D87"/>
    <w:p w14:paraId="50A31009" w14:textId="77777777" w:rsidR="006A23F4" w:rsidRDefault="006A23F4" w:rsidP="00FD5D87"/>
    <w:p w14:paraId="033C1C91" w14:textId="3E6A1A6E" w:rsidR="0095133A" w:rsidRPr="004B4D6F" w:rsidRDefault="00B5018C" w:rsidP="00BA0B07">
      <w:pPr>
        <w:pStyle w:val="ListParagraph"/>
        <w:numPr>
          <w:ilvl w:val="0"/>
          <w:numId w:val="2"/>
        </w:numPr>
        <w:spacing w:after="0" w:line="240" w:lineRule="auto"/>
        <w:rPr>
          <w:sz w:val="12"/>
          <w:szCs w:val="12"/>
        </w:rPr>
      </w:pPr>
      <w:r w:rsidRPr="004B4D6F">
        <w:rPr>
          <w:sz w:val="12"/>
          <w:szCs w:val="12"/>
        </w:rPr>
        <w:t xml:space="preserve">US DOL Bureau of Labor Statistics Census of Fatal Occupational Injuries (CFOI) </w:t>
      </w:r>
      <w:r w:rsidR="00A933EF" w:rsidRPr="004B4D6F">
        <w:rPr>
          <w:sz w:val="12"/>
          <w:szCs w:val="12"/>
        </w:rPr>
        <w:t>– 2021</w:t>
      </w:r>
      <w:r w:rsidRPr="004B4D6F">
        <w:rPr>
          <w:sz w:val="12"/>
          <w:szCs w:val="12"/>
        </w:rPr>
        <w:t xml:space="preserve"> </w:t>
      </w:r>
      <w:r w:rsidR="0095133A" w:rsidRPr="004B4D6F">
        <w:rPr>
          <w:sz w:val="12"/>
          <w:szCs w:val="12"/>
        </w:rPr>
        <w:t>News</w:t>
      </w:r>
      <w:r w:rsidR="00BA0B07" w:rsidRPr="004B4D6F">
        <w:rPr>
          <w:sz w:val="12"/>
          <w:szCs w:val="12"/>
        </w:rPr>
        <w:t xml:space="preserve"> R</w:t>
      </w:r>
      <w:r w:rsidR="0095133A" w:rsidRPr="004B4D6F">
        <w:rPr>
          <w:sz w:val="12"/>
          <w:szCs w:val="12"/>
        </w:rPr>
        <w:t xml:space="preserve">elease </w:t>
      </w:r>
      <w:hyperlink r:id="rId13" w:history="1">
        <w:r w:rsidR="0095133A" w:rsidRPr="004B4D6F">
          <w:rPr>
            <w:rStyle w:val="Hyperlink"/>
            <w:sz w:val="12"/>
            <w:szCs w:val="12"/>
          </w:rPr>
          <w:t>https://www.bls.gov/news.release/pdf/cfoi.pdf</w:t>
        </w:r>
      </w:hyperlink>
    </w:p>
    <w:p w14:paraId="13F1B130" w14:textId="6EE8A48D" w:rsidR="00A933EF" w:rsidRPr="004B4D6F" w:rsidRDefault="00336BFC" w:rsidP="00A933EF">
      <w:pPr>
        <w:pStyle w:val="ListParagraph"/>
        <w:numPr>
          <w:ilvl w:val="0"/>
          <w:numId w:val="2"/>
        </w:numPr>
        <w:rPr>
          <w:sz w:val="12"/>
          <w:szCs w:val="12"/>
        </w:rPr>
      </w:pPr>
      <w:r w:rsidRPr="004B4D6F">
        <w:rPr>
          <w:sz w:val="12"/>
          <w:szCs w:val="12"/>
        </w:rPr>
        <w:t xml:space="preserve">BLS </w:t>
      </w:r>
      <w:r w:rsidR="00BA0B07" w:rsidRPr="004B4D6F">
        <w:rPr>
          <w:sz w:val="12"/>
          <w:szCs w:val="12"/>
        </w:rPr>
        <w:t>Tabl</w:t>
      </w:r>
      <w:r w:rsidR="00A933EF" w:rsidRPr="004B4D6F">
        <w:rPr>
          <w:sz w:val="12"/>
          <w:szCs w:val="12"/>
        </w:rPr>
        <w:t xml:space="preserve">e (Fatal occupational injuries by event or exposure for all fatal injuries and major private industry sector, all United States, 2021) </w:t>
      </w:r>
      <w:r w:rsidRPr="004B4D6F">
        <w:rPr>
          <w:sz w:val="12"/>
          <w:szCs w:val="12"/>
        </w:rPr>
        <w:t xml:space="preserve">Page </w:t>
      </w:r>
      <w:hyperlink r:id="rId14" w:history="1">
        <w:r w:rsidR="00A933EF" w:rsidRPr="004B4D6F">
          <w:rPr>
            <w:rStyle w:val="Hyperlink"/>
            <w:sz w:val="12"/>
            <w:szCs w:val="12"/>
          </w:rPr>
          <w:t>https://www.bls.gov/iif/fatal-injuries-tables/fatal-occupational-injuries-table-a-9-2021.htm</w:t>
        </w:r>
      </w:hyperlink>
    </w:p>
    <w:p w14:paraId="64C0226B" w14:textId="77777777" w:rsidR="00A933EF" w:rsidRPr="00A933EF" w:rsidRDefault="00A933EF" w:rsidP="00A933EF">
      <w:pPr>
        <w:pStyle w:val="ListParagraph"/>
        <w:rPr>
          <w:sz w:val="12"/>
          <w:szCs w:val="12"/>
        </w:rPr>
      </w:pPr>
    </w:p>
    <w:p w14:paraId="64386B0C" w14:textId="77777777" w:rsidR="00A933EF" w:rsidRPr="00A933EF" w:rsidRDefault="00A933EF" w:rsidP="00A933EF">
      <w:pPr>
        <w:rPr>
          <w:sz w:val="12"/>
          <w:szCs w:val="12"/>
        </w:rPr>
      </w:pPr>
    </w:p>
    <w:p w14:paraId="32F6D10B" w14:textId="4124E4AC" w:rsidR="00FD5D87" w:rsidRPr="00BA0B07" w:rsidRDefault="00FD5D87" w:rsidP="001A7B61">
      <w:pPr>
        <w:pStyle w:val="ListParagraph"/>
        <w:spacing w:after="0" w:line="240" w:lineRule="auto"/>
        <w:rPr>
          <w:sz w:val="12"/>
          <w:szCs w:val="12"/>
        </w:rPr>
      </w:pPr>
    </w:p>
    <w:sectPr w:rsidR="00FD5D87" w:rsidRPr="00BA0B0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0ADF" w14:textId="77777777" w:rsidR="00887508" w:rsidRDefault="00887508" w:rsidP="00556B87">
      <w:r>
        <w:separator/>
      </w:r>
    </w:p>
  </w:endnote>
  <w:endnote w:type="continuationSeparator" w:id="0">
    <w:p w14:paraId="178F3B8E" w14:textId="77777777" w:rsidR="00887508" w:rsidRDefault="00887508" w:rsidP="0055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FB8A" w14:textId="77777777" w:rsidR="007F10BA" w:rsidRDefault="002E04E2" w:rsidP="007F10BA">
    <w:pPr>
      <w:pStyle w:val="Footer"/>
      <w:jc w:val="center"/>
    </w:pPr>
    <w:r>
      <w:rPr>
        <w:noProof/>
      </w:rPr>
      <w:drawing>
        <wp:inline distT="0" distB="0" distL="0" distR="0" wp14:anchorId="5F9E2A48" wp14:editId="47F4A641">
          <wp:extent cx="1154399" cy="874849"/>
          <wp:effectExtent l="0" t="0" r="825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399" cy="87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5C5D" w14:textId="77777777" w:rsidR="00887508" w:rsidRDefault="00887508" w:rsidP="00556B87">
      <w:r>
        <w:separator/>
      </w:r>
    </w:p>
  </w:footnote>
  <w:footnote w:type="continuationSeparator" w:id="0">
    <w:p w14:paraId="04FBFF8A" w14:textId="77777777" w:rsidR="00887508" w:rsidRDefault="00887508" w:rsidP="0055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A014" w14:textId="77777777" w:rsidR="00556B87" w:rsidRPr="00556B87" w:rsidRDefault="00551B24" w:rsidP="007F10BA">
    <w:pPr>
      <w:pStyle w:val="Header"/>
      <w:jc w:val="center"/>
    </w:pPr>
    <w:r>
      <w:rPr>
        <w:noProof/>
      </w:rPr>
      <w:drawing>
        <wp:inline distT="0" distB="0" distL="0" distR="0" wp14:anchorId="603D9AA0" wp14:editId="0B4D3F16">
          <wp:extent cx="1426356" cy="1080949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356" cy="108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A37D0"/>
    <w:multiLevelType w:val="multilevel"/>
    <w:tmpl w:val="ECD67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46152"/>
    <w:multiLevelType w:val="hybridMultilevel"/>
    <w:tmpl w:val="F968B4E4"/>
    <w:lvl w:ilvl="0" w:tplc="66F6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47459">
    <w:abstractNumId w:val="0"/>
  </w:num>
  <w:num w:numId="2" w16cid:durableId="12335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87"/>
    <w:rsid w:val="000008B4"/>
    <w:rsid w:val="00016F06"/>
    <w:rsid w:val="000276B6"/>
    <w:rsid w:val="00042697"/>
    <w:rsid w:val="00045640"/>
    <w:rsid w:val="00094D60"/>
    <w:rsid w:val="000B62C2"/>
    <w:rsid w:val="000F0DE4"/>
    <w:rsid w:val="001701F9"/>
    <w:rsid w:val="00185B59"/>
    <w:rsid w:val="001A7B61"/>
    <w:rsid w:val="001D6214"/>
    <w:rsid w:val="001F3761"/>
    <w:rsid w:val="00224F18"/>
    <w:rsid w:val="00234CB7"/>
    <w:rsid w:val="00235F18"/>
    <w:rsid w:val="002E04E2"/>
    <w:rsid w:val="00314E88"/>
    <w:rsid w:val="00336BFC"/>
    <w:rsid w:val="00336F10"/>
    <w:rsid w:val="003B420C"/>
    <w:rsid w:val="003B5957"/>
    <w:rsid w:val="003E5FA1"/>
    <w:rsid w:val="003F1B26"/>
    <w:rsid w:val="003F34A3"/>
    <w:rsid w:val="00435037"/>
    <w:rsid w:val="00476EFA"/>
    <w:rsid w:val="0048684D"/>
    <w:rsid w:val="004B4D6F"/>
    <w:rsid w:val="004C2A9C"/>
    <w:rsid w:val="004D28E8"/>
    <w:rsid w:val="00522398"/>
    <w:rsid w:val="00527DBC"/>
    <w:rsid w:val="00551B24"/>
    <w:rsid w:val="00556B87"/>
    <w:rsid w:val="00557F0F"/>
    <w:rsid w:val="005D5A20"/>
    <w:rsid w:val="00622264"/>
    <w:rsid w:val="00626213"/>
    <w:rsid w:val="00644834"/>
    <w:rsid w:val="00644853"/>
    <w:rsid w:val="00671394"/>
    <w:rsid w:val="00677C61"/>
    <w:rsid w:val="006A23F4"/>
    <w:rsid w:val="006F33A1"/>
    <w:rsid w:val="00761F13"/>
    <w:rsid w:val="00787434"/>
    <w:rsid w:val="00792672"/>
    <w:rsid w:val="007F10BA"/>
    <w:rsid w:val="0080757B"/>
    <w:rsid w:val="0087201C"/>
    <w:rsid w:val="00887508"/>
    <w:rsid w:val="008D2F34"/>
    <w:rsid w:val="008D44C0"/>
    <w:rsid w:val="00942A29"/>
    <w:rsid w:val="0095133A"/>
    <w:rsid w:val="00965233"/>
    <w:rsid w:val="009C18DD"/>
    <w:rsid w:val="009D05AF"/>
    <w:rsid w:val="009D09BD"/>
    <w:rsid w:val="009E362D"/>
    <w:rsid w:val="00A15CA1"/>
    <w:rsid w:val="00A32458"/>
    <w:rsid w:val="00A5450A"/>
    <w:rsid w:val="00A60633"/>
    <w:rsid w:val="00A745D0"/>
    <w:rsid w:val="00A8000A"/>
    <w:rsid w:val="00A8708A"/>
    <w:rsid w:val="00A933EF"/>
    <w:rsid w:val="00AB7259"/>
    <w:rsid w:val="00AC7493"/>
    <w:rsid w:val="00AD3823"/>
    <w:rsid w:val="00AD3DDA"/>
    <w:rsid w:val="00B201A4"/>
    <w:rsid w:val="00B21B52"/>
    <w:rsid w:val="00B253D0"/>
    <w:rsid w:val="00B25D6F"/>
    <w:rsid w:val="00B31B56"/>
    <w:rsid w:val="00B442C4"/>
    <w:rsid w:val="00B5018C"/>
    <w:rsid w:val="00B64883"/>
    <w:rsid w:val="00B720C4"/>
    <w:rsid w:val="00BA0B07"/>
    <w:rsid w:val="00BD6729"/>
    <w:rsid w:val="00C43C5D"/>
    <w:rsid w:val="00CA6445"/>
    <w:rsid w:val="00CC5682"/>
    <w:rsid w:val="00D01B9A"/>
    <w:rsid w:val="00D4484F"/>
    <w:rsid w:val="00D7370A"/>
    <w:rsid w:val="00D91C5C"/>
    <w:rsid w:val="00DC1289"/>
    <w:rsid w:val="00E11B89"/>
    <w:rsid w:val="00EC03CF"/>
    <w:rsid w:val="00F2457B"/>
    <w:rsid w:val="00F34548"/>
    <w:rsid w:val="00F40961"/>
    <w:rsid w:val="00F4201B"/>
    <w:rsid w:val="00F51059"/>
    <w:rsid w:val="00F54FEB"/>
    <w:rsid w:val="00FD5D87"/>
    <w:rsid w:val="00FE167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41147"/>
  <w15:docId w15:val="{0E07FCD8-7B25-4789-9837-C8A2C02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8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1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D8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B8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B8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501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926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4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85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85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news.release/pdf/cfoi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HA-Focus4-Region3@dol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iif/oshwc/cfoi/cftb0343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iif/fatal-injuries-tables/fatal-occupational-injuries-table-a-9-2021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699B210B3744A6A1F5EA1A237C90" ma:contentTypeVersion="12" ma:contentTypeDescription="Create a new document." ma:contentTypeScope="" ma:versionID="720236e10d3f52391615c5883edd6b3e">
  <xsd:schema xmlns:xsd="http://www.w3.org/2001/XMLSchema" xmlns:xs="http://www.w3.org/2001/XMLSchema" xmlns:p="http://schemas.microsoft.com/office/2006/metadata/properties" xmlns:ns3="6310d5a0-4d82-4e0c-9aaf-cacbd190259c" xmlns:ns4="44242dd1-4d91-452a-bafc-0ac2ef64d0b3" targetNamespace="http://schemas.microsoft.com/office/2006/metadata/properties" ma:root="true" ma:fieldsID="12251d27f87835a145504c1e5611c83b" ns3:_="" ns4:_="">
    <xsd:import namespace="6310d5a0-4d82-4e0c-9aaf-cacbd190259c"/>
    <xsd:import namespace="44242dd1-4d91-452a-bafc-0ac2ef64d0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d5a0-4d82-4e0c-9aaf-cacbd1902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2dd1-4d91-452a-bafc-0ac2ef64d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63C3C-4EEE-4274-B19D-6187F42B5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DB331-BD81-421D-A389-45555DD4C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0d5a0-4d82-4e0c-9aaf-cacbd190259c"/>
    <ds:schemaRef ds:uri="44242dd1-4d91-452a-bafc-0ac2ef64d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1E5C3-48E8-4D22-8D62-8FE76C8588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9E690-F6B2-4B8F-ADC9-9DBF34005D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DeJesse, Nicholas - OSHA</cp:lastModifiedBy>
  <cp:revision>2</cp:revision>
  <cp:lastPrinted>2022-03-03T15:11:00Z</cp:lastPrinted>
  <dcterms:created xsi:type="dcterms:W3CDTF">2023-02-27T12:03:00Z</dcterms:created>
  <dcterms:modified xsi:type="dcterms:W3CDTF">2023-02-27T12:03:00Z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0x0101004853699B210B3744A6A1F5EA1A237C90</vt:lpwstr>
  </property>
</Properties>
</file>